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2-25-1903</w:t>
      </w:r>
      <w:r>
        <w:rPr>
          <w:rFonts w:ascii="Times New Roman" w:eastAsia="Times New Roman" w:hAnsi="Times New Roman" w:cs="Times New Roman"/>
        </w:rPr>
        <w:t>/2024</w:t>
      </w:r>
    </w:p>
    <w:p>
      <w:pPr>
        <w:keepNext/>
        <w:spacing w:before="0" w:after="0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усинтерфинанс</w:t>
      </w:r>
      <w:r>
        <w:rPr>
          <w:rFonts w:ascii="Times New Roman" w:eastAsia="Times New Roman" w:hAnsi="Times New Roman" w:cs="Times New Roman"/>
          <w:sz w:val="28"/>
          <w:szCs w:val="28"/>
        </w:rPr>
        <w:t>» к Казакову Константину Борисовичу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договору займа, судебных расходов,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left="45" w:hanging="45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</w:rPr>
        <w:t>» к Казакову Константину Борисовичу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займа, судебных расходов - отказать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истечением срока исковой давности.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через мирового судью в течение месяца со дня принятия решения суда в окончательной форме.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подпись мирового судьи_____________________ О.П. Артюх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М.А.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06 февраля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